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3C" w:rsidRPr="0077713C" w:rsidRDefault="0077713C" w:rsidP="0077713C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3C3C3C"/>
          <w:kern w:val="36"/>
          <w:sz w:val="21"/>
          <w:szCs w:val="21"/>
          <w:lang w:eastAsia="ru-RU"/>
        </w:rPr>
      </w:pPr>
      <w:bookmarkStart w:id="0" w:name="_GoBack"/>
      <w:r w:rsidRPr="0077713C">
        <w:rPr>
          <w:rFonts w:ascii="Tahoma" w:eastAsia="Times New Roman" w:hAnsi="Tahoma" w:cs="Tahoma"/>
          <w:b/>
          <w:bCs/>
          <w:color w:val="3C3C3C"/>
          <w:kern w:val="36"/>
          <w:sz w:val="21"/>
          <w:szCs w:val="21"/>
          <w:lang w:eastAsia="ru-RU"/>
        </w:rPr>
        <w:t>IV Всероссийский (областной тур) фестиваль любительских театров «Две маски-2021»</w:t>
      </w:r>
    </w:p>
    <w:bookmarkEnd w:id="0"/>
    <w:p w:rsidR="0077713C" w:rsidRPr="0077713C" w:rsidRDefault="0077713C" w:rsidP="0077713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ПОЛОЖЕНИЕ</w:t>
      </w:r>
    </w:p>
    <w:p w:rsidR="0077713C" w:rsidRPr="0077713C" w:rsidRDefault="0077713C" w:rsidP="0077713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о проведении IV Всероссийского (областной тур) фестиваля любительских театров «Две маски-2021»</w:t>
      </w:r>
    </w:p>
    <w:p w:rsidR="0077713C" w:rsidRPr="0077713C" w:rsidRDefault="0077713C" w:rsidP="0077713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г. Челябинск</w:t>
      </w:r>
    </w:p>
    <w:p w:rsidR="0077713C" w:rsidRPr="0077713C" w:rsidRDefault="0077713C" w:rsidP="0077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3C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br/>
      </w:r>
      <w:r w:rsidRPr="0077713C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br/>
      </w:r>
    </w:p>
    <w:p w:rsidR="0077713C" w:rsidRPr="0077713C" w:rsidRDefault="0077713C" w:rsidP="007771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 1. Общие положения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 Настоящее положения определяет цели, задачи, состав участников, порядок организации, сроки проведения IV Всероссийского (областной тур) фестиваля любительских театров  «Две маски-2021»  (далее  - Фестиваль)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 Учредители Фестиваля: Министерство культуры Челябинской области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 Организаторы Фестиваля: Областное государственное бюджетное учреждение культуры «Челябинский государственный центр народного творчества»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2.Цели и задачи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 развития и пропаганды любительского  театрального искусства; 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 объединение и укрепление творческих контактов деятелей театров, привлечение внимания общественности к любительскому театральному искусству; 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 просвещение и приобщение граждан к театральному творчеству; 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 совершенствование профессионального уровня руководителей и участников Фестиваля;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 выявление талантливых исполнителей и коллективов;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 популяризация любительского театрального творчества.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ab/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3. Оргкомитет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Оргкомитет утверждает план подготовки, программу проведения Фестиваля, формирует состав жюри, осуществляет прием заявок на участие в Фестивале, осуществляет координирующие функции между ведомствами и службами, участвующими в подготовке и проведении Фестиваля.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В состав оргкомитета входят: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 Министерство культуры Челябинской области.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 Областное государственное бюджетное учреждение культуры «Челябинский государственный центр народного творчества».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Организаторы Фестиваля не несут ответственность перед авторами литературных и музыкальных произведений, заявленных участниками Фестиваля.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4. Порядок проведения фестиваля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В Фестивале могут принять участие любительские театральные коллективы, Народные театры, театральные студии учреждений культуры и образования Челябинской области независимо от ведомственной принадлежности.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Возраст участников от 14 лет и старше.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Фестиваль проводится в четырех территориях Челябинской области.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Сроки проведения фестиваля: 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 xml:space="preserve">13 марта – </w:t>
      </w:r>
      <w:proofErr w:type="gramStart"/>
      <w:r w:rsidRPr="0077713C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с</w:t>
      </w:r>
      <w:proofErr w:type="gramEnd"/>
      <w:r w:rsidRPr="0077713C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 xml:space="preserve">. </w:t>
      </w:r>
      <w:proofErr w:type="gramStart"/>
      <w:r w:rsidRPr="0077713C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Чесма</w:t>
      </w:r>
      <w:proofErr w:type="gramEnd"/>
      <w:r w:rsidRPr="0077713C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, ЦДК (ул. Ленина, 67), 11.00 ч.;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 xml:space="preserve">20 марта – г. Усть – Катав, ДК им. Белоконева Т.Я. (ул. </w:t>
      </w:r>
      <w:proofErr w:type="gramStart"/>
      <w:r w:rsidRPr="0077713C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Комсомольская</w:t>
      </w:r>
      <w:proofErr w:type="gramEnd"/>
      <w:r w:rsidRPr="0077713C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, 38),11.00ч.;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proofErr w:type="gramStart"/>
      <w:r w:rsidRPr="0077713C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28 марта – г. Кыштым, ДК «Металлург» (ул. Интернационала, 103), 11.00 ч.;</w:t>
      </w:r>
      <w:proofErr w:type="gramEnd"/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proofErr w:type="gramStart"/>
      <w:r w:rsidRPr="0077713C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3 апреля – п. Тимирязевский, ДК «Радуга», (ул. Мичурина, 7), 11.00 ч.</w:t>
      </w:r>
      <w:proofErr w:type="gramEnd"/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Продолжительность спектакля – 35 мин. - 1час 10 мин.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Программка (афиша) спектакля предоставляется жюри до начала спектакля.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5. Критерии оценки: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lastRenderedPageBreak/>
        <w:t>1. Актерское мастерство.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2. Художественный образ спектакля.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3. Актуальность темы.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4. Драматургия.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6. Награждение: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Жюри учреждает: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 Гран-при,  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Дипломы Лауреата и Дипломы по следующим номинациям: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«Лучшая режиссура»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«Лучшая женская роль»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«Лучшая мужская роль»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«Лучшая женская роль второго плана»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«Лучшая мужская роль второго плана»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«Лучший актёрский ансамбль»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«Лучшее художественное оформление спектакля»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«Лучший художник по костюмам»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«Дебют»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Коллективы, получившие Гран-при на Областном туре Фестиваля, рекомендуются для участия во Всероссийском этапе: 17-18 апреля, 2021 г.,                      г. Челябинск.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Диплом Гран-при не может быть присужден одному и тому же коллективу (участнику) два года подряд.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7. Прием заявок и финансовые условия: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Фестиваль проводится за счет средств участников  и организаторов фестиваля. 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Организационный взнос – 2500 руб.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Участие в Фестивале автоматически предполагает, что руководитель коллектива дает разрешение на проведение Оргкомитетом фото и видеосъемки его произведений для дальнейшего использования, в том числе для создания фильма и печатной продукции в целях популяризации идеи фестиваля.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Командировочные расходы за счет направляющей организации.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Заявки на участие подаются с 13 января по 2 марта 2021 года 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на сайт  www.ocnt.ru («Фестивали и конкурсы» - «Заявка на участие»)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Адрес оргкомитета: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454091, г. Челябинск, ул. 1й Пятилетки, 17.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т.ф. – 8(351)2254801,</w:t>
      </w:r>
    </w:p>
    <w:p w:rsidR="0077713C" w:rsidRPr="0077713C" w:rsidRDefault="0077713C" w:rsidP="0077713C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77713C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E-mail– cnt_theatre@mail.ru, художественно творческий отдел - каб.307.</w:t>
      </w:r>
    </w:p>
    <w:p w:rsidR="001625BA" w:rsidRDefault="001625BA"/>
    <w:sectPr w:rsidR="0016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39"/>
    <w:rsid w:val="001625BA"/>
    <w:rsid w:val="001F7339"/>
    <w:rsid w:val="0077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7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1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1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7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1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3398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Работник</cp:lastModifiedBy>
  <cp:revision>2</cp:revision>
  <dcterms:created xsi:type="dcterms:W3CDTF">2021-02-10T11:23:00Z</dcterms:created>
  <dcterms:modified xsi:type="dcterms:W3CDTF">2021-02-10T11:23:00Z</dcterms:modified>
</cp:coreProperties>
</file>